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sz w:val="32"/>
          <w:szCs w:val="32"/>
          <w:highlight w:val="none"/>
        </w:rPr>
      </w:pPr>
      <w:r>
        <w:rPr>
          <w:rFonts w:hint="eastAsia" w:ascii="黑体" w:hAnsi="黑体" w:eastAsia="黑体" w:cs="黑体"/>
          <w:bCs/>
          <w:sz w:val="32"/>
          <w:szCs w:val="32"/>
          <w:highlight w:val="none"/>
          <w:lang w:eastAsia="zh-CN"/>
        </w:rPr>
        <w:t>附件</w:t>
      </w:r>
    </w:p>
    <w:p>
      <w:pPr>
        <w:jc w:val="center"/>
        <w:rPr>
          <w:rFonts w:hint="eastAsia" w:ascii="宋体" w:hAnsi="宋体"/>
          <w:bCs/>
          <w:sz w:val="52"/>
          <w:highlight w:val="none"/>
        </w:rPr>
      </w:pPr>
    </w:p>
    <w:p>
      <w:pPr>
        <w:jc w:val="center"/>
        <w:rPr>
          <w:rFonts w:hint="eastAsia" w:ascii="宋体" w:hAnsi="宋体"/>
          <w:bCs/>
          <w:sz w:val="52"/>
          <w:highlight w:val="none"/>
        </w:rPr>
      </w:pPr>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sectPr>
          <w:footerReference r:id="rId3"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ascii="宋体" w:hAnsi="宋体"/>
          <w:b/>
          <w:bCs/>
          <w:sz w:val="44"/>
          <w:highlight w:val="none"/>
        </w:rPr>
        <w:sectPr>
          <w:footerReference r:id="rId4"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spacing w:after="156"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156" w:afterLines="50"/>
        <w:jc w:val="center"/>
        <w:rPr>
          <w:rFonts w:hint="eastAsia" w:ascii="宋体" w:hAnsi="宋体"/>
          <w:b/>
          <w:bCs/>
          <w:sz w:val="18"/>
          <w:szCs w:val="18"/>
          <w:highlight w:val="none"/>
        </w:rPr>
      </w:pPr>
    </w:p>
    <w:p>
      <w:pPr>
        <w:tabs>
          <w:tab w:val="left" w:pos="11700"/>
        </w:tabs>
        <w:spacing w:after="156"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156"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156"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156"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156"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156"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156"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156" w:afterLines="50" w:line="400" w:lineRule="exact"/>
        <w:jc w:val="center"/>
        <w:rPr>
          <w:rFonts w:hint="eastAsia" w:ascii="宋体" w:hAnsi="宋体" w:cs="宋体"/>
          <w:color w:val="auto"/>
          <w:szCs w:val="21"/>
          <w:lang w:val="en-US" w:eastAsia="zh-CN"/>
        </w:rPr>
      </w:pPr>
    </w:p>
    <w:p>
      <w:pPr>
        <w:tabs>
          <w:tab w:val="left" w:pos="210"/>
        </w:tabs>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br w:type="page"/>
      </w:r>
    </w:p>
    <w:p>
      <w:pPr>
        <w:rPr>
          <w:rFonts w:ascii="宋体" w:hAnsi="宋体"/>
          <w:sz w:val="30"/>
          <w:highlight w:val="none"/>
        </w:rPr>
        <w:sectPr>
          <w:footerReference r:id="rId5"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pStyle w:val="2"/>
        <w:jc w:val="center"/>
        <w:rPr>
          <w:rFonts w:hint="eastAsia" w:ascii="黑体" w:hAnsi="黑体" w:eastAsia="黑体"/>
          <w:b w:val="0"/>
          <w:bCs w:val="0"/>
          <w:sz w:val="32"/>
          <w:szCs w:val="44"/>
          <w:highlight w:val="none"/>
        </w:rPr>
      </w:pPr>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footerReference r:id="rId7" w:type="even"/>
          <w:pgSz w:w="11906" w:h="16838"/>
          <w:pgMar w:top="1361" w:right="1247" w:bottom="1304"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Style w:val="7"/>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DBAoAAAAAAIdO4kAAAAAAAAAAAAAAAAAEAAAAZHJzL1BLAwQUAAAACACHTuJAlfsGEdIAAAAE&#10;AQAADwAAAGRycy9kb3ducmV2LnhtbE2PTU/DMAyG70j8h8hI3Fi6HkZVmu4wNE0gLvuQuHqNacoa&#10;p2uyD/49hgscH7/W68fV/Op7daYxdoENTCcZKOIm2I5bA7vt8qEAFROyxT4wGfiiCPP69qbC0oYL&#10;r+m8Sa2SEo4lGnApDaXWsXHkMU7CQCzZRxg9JsGx1XbEi5T7XudZNtMeO5YLDgdaOGoOm5M3gM+r&#10;dXov8tfH7sW9fW6Xx5Urjsbc302zJ1CJrulvGX70RR1qcdqHE9uoegPySJLpDJSERZEL739Z15X+&#10;L19/A1BLAwQUAAAACACHTuJAmqb/7uUBAADcAwAADgAAAGRycy9lMm9Eb2MueG1srVNLbtswEN0X&#10;6B0I7mvJBpoWguUs4qabIDXQ9gBjkpII8AcObdln6TW66qbHyTU6pGwnTTde1AuZ5AzfvPdmuLw9&#10;WMP2KqL2ruXzWc2ZcsJL7fqWf/92/+4jZ5jASTDeqZYfFfLb1ds3yzE0auEHb6SKjEAcNmNo+ZBS&#10;aKoKxaAs4MwH5SjY+Wgh0Tb2lYwwEro11aKub6rRRxmiFwqRTtdTkJ8Q4zWAvuu0UGsvdla5NKFG&#10;ZSCRJBx0QL4qbLtOifSl61AlZlpOSlP5UhFab/O3Wi2h6SOEQYsTBbiGwitNFrSjoheoNSRgu6j/&#10;gbJaRI++SzPhbTUJKY6Qinn9ypuvAwRVtJDVGC6m4/+DFY/7TWRa0iRw5sBSw59+/Hz69Zstsjdj&#10;wIZS7twmnnYYNjELPXTR5n+SwA7Fz+PFT3VITNDh+5u6/lCT1eIcq54vhojps/KW5UXLjXZZKjSw&#10;f8BExSj1nJKPjWMjkVxMeECD11HDCdoGIo+uL5fRGy3vtTH5CsZ+e2ci20NufvllTQT8V1qusgYc&#10;prwSmsZiUCA/OcnSMZAtjl4DzxyskpwZRY8nrwgQmgTaXJNJpY0jBtnWyci82np5pCbsQtT9QFbM&#10;C8scoaYXvqcBzVP1cl+Qnh/l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wYR0gAAAAQBAAAP&#10;AAAAAAAAAAEAIAAAACIAAABkcnMvZG93bnJldi54bWxQSwECFAAUAAAACACHTuJAmqb/7uUBAADc&#10;AwAADgAAAAAAAAABACAAAAAhAQAAZHJzL2Uyb0RvYy54bWxQSwUGAAAAAAYABgBZAQAAeAU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beforeLines="0" w:after="0" w:afterLines="0" w:line="400" w:lineRule="exact"/>
        <w:ind w:left="0" w:leftChars="0" w:right="0" w:rightChars="0"/>
        <w:jc w:val="center"/>
        <w:rPr>
          <w:rFonts w:hint="eastAsia" w:ascii="宋体" w:hAnsi="宋体" w:eastAsia="宋体" w:cs="宋体"/>
          <w:b w:val="0"/>
          <w:bCs/>
          <w:kern w:val="0"/>
          <w:sz w:val="32"/>
          <w:szCs w:val="32"/>
          <w:highlight w:val="none"/>
          <w:lang w:bidi="ar"/>
        </w:rPr>
      </w:pPr>
      <w:r>
        <w:rPr>
          <w:rFonts w:hint="eastAsia" w:ascii="宋体" w:hAnsi="宋体" w:cs="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DBAoAAAAAAIdO4kAAAAAAAAAAAAAAAAAEAAAAZHJzL1BLAwQUAAAACACHTuJAqmSNy9MAAAAE&#10;AQAADwAAAGRycy9kb3ducmV2LnhtbE2Py07DMBBF90j8gzVI7KjTCtooxOkCVFUgNm2R2E7jIQ7E&#10;4zR2H/x9h25geXRH954p5yffqQMNsQ1sYDzKQBHXwbbcGHjfLO5yUDEhW+wCk4EfijCvrq9KLGw4&#10;8ooO69QoKeFYoAGXUl9oHWtHHuMo9MSSfYbBYxIcGm0HPEq57/Qky6baY8uy4LCnJ0f193rvDeDz&#10;cpU+8snrrH1xb1+bxW7p8p0xtzfj7BFUolP6O4ZffVGHSpy2Yc82qs6APJIMPMxASZhP74W3F9ZV&#10;qf/LV2dQSwMEFAAAAAgAh07iQFEEk03oAQAA3AMAAA4AAABkcnMvZTJvRG9jLnhtbK1TzY7TMBC+&#10;I/EOlu80aVmWVdR0D1uWC4JKLA8wtZ3Ekv/kcZv2WXgNTlx4nH0Nxk63C8ulB3Jwxp7xN/N9M17e&#10;HqxhexVRe9fy+azmTDnhpXZ9y7893L+54QwTOAnGO9Xyo0J+u3r9ajmGRi384I1UkRGIw2YMLR9S&#10;Ck1VoRiUBZz5oBw5Ox8tJNrGvpIRRkK3plrU9XU1+ihD9EIh0ul6cvITYrwE0HedFmrtxc4qlybU&#10;qAwkooSDDshXpdquUyJ96TpUiZmWE9NUVkpC9jav1WoJTR8hDFqcSoBLSnjByYJ2lPQMtYYEbBf1&#10;P1BWi+jRd2kmvK0mIkURYjGvX2jzdYCgCheSGsNZdPx/sOLzfhOZli1fcObAUsMfv/94/PmLvc3a&#10;jAEbCrlzm3jaYdjETPTQRZv/RIEdip7Hs57qkJigw3dXN9dXNUktnnzV88UQMX1U3rJstNxol6lC&#10;A/tPmCgZhT6F5GPj2Ejjunhf8IAGr6OGE7QNVDy6vlxGb7S818bkKxj77Z2JbA+5+eXLnAj4r7Cc&#10;ZQ04THHFNY3FoEB+cJKlYyBZHL0GnmuwSnJmFD2ebBEgNAm0uSSSUhtHFWRZJyGztfXySE3Yhaj7&#10;gaSYlyqzh5pe6j0NaJ6qP/cF6flR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mSNy9MAAAAE&#10;AQAADwAAAAAAAAABACAAAAAiAAAAZHJzL2Rvd25yZXYueG1sUEsBAhQAFAAAAAgAh07iQFEEk03o&#10;AQAA3AMAAA4AAAAAAAAAAQAgAAAAIgEAAGRycy9lMm9Eb2MueG1sUEsFBgAAAAAGAAYAWQEAAHwF&#10;A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bidi="ar"/>
        </w:rPr>
        <w:t>（二）工程造价咨询企业人员情况</w:t>
      </w:r>
    </w:p>
    <w:p>
      <w:pPr>
        <w:spacing w:beforeLines="0" w:after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after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after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ilvl w:val="0"/>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（三）工程造价咨询企业业务</w:t>
      </w:r>
      <w:r>
        <w:rPr>
          <w:rFonts w:hint="eastAsia" w:ascii="宋体" w:hAnsi="宋体" w:cs="宋体"/>
          <w:b w:val="0"/>
          <w:bCs/>
          <w:color w:val="auto"/>
          <w:kern w:val="0"/>
          <w:sz w:val="32"/>
          <w:szCs w:val="32"/>
          <w:highlight w:val="none"/>
          <w:lang w:bidi="ar"/>
        </w:rPr>
        <w:t>情况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ilvl w:val="0"/>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ilvl w:val="0"/>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ilvl w:val="0"/>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ilvl w:val="0"/>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ilvl w:val="0"/>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ilvl w:val="0"/>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auto"/>
          <w:lang w:val="en-US" w:eastAsia="zh-CN"/>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中应届高等院校毕业生（包含：专科毕业生、本科毕业生、硕士毕业生和博士毕业生）的数量。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157" w:beforeLines="50" w:beforeAutospacing="0" w:after="157"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bidi="ar"/>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157" w:beforeLines="50" w:beforeAutospacing="0" w:after="157"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Style w:val="7"/>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bidi="ar"/>
        </w:rPr>
      </w:pPr>
      <w:r>
        <w:rPr>
          <w:rFonts w:hint="eastAsia" w:ascii="宋体" w:hAnsi="宋体" w:cs="宋体"/>
          <w:b w:val="0"/>
          <w:bCs/>
          <w:kern w:val="0"/>
          <w:sz w:val="28"/>
          <w:szCs w:val="28"/>
          <w:highlight w:val="none"/>
          <w:lang w:bidi="ar"/>
        </w:rPr>
        <w:t>（</w:t>
      </w:r>
      <w:r>
        <w:rPr>
          <w:rFonts w:hint="eastAsia" w:ascii="宋体" w:hAnsi="宋体" w:cs="宋体"/>
          <w:b w:val="0"/>
          <w:bCs/>
          <w:kern w:val="0"/>
          <w:sz w:val="28"/>
          <w:szCs w:val="28"/>
          <w:highlight w:val="none"/>
          <w:lang w:val="en-US" w:eastAsia="zh-CN" w:bidi="ar"/>
        </w:rPr>
        <w:t>二</w:t>
      </w:r>
      <w:r>
        <w:rPr>
          <w:rFonts w:hint="eastAsia" w:ascii="宋体" w:hAnsi="宋体" w:cs="宋体"/>
          <w:b w:val="0"/>
          <w:bCs/>
          <w:kern w:val="0"/>
          <w:sz w:val="28"/>
          <w:szCs w:val="28"/>
          <w:highlight w:val="none"/>
          <w:lang w:bidi="ar"/>
        </w:rPr>
        <w:t>）</w:t>
      </w:r>
      <w:r>
        <w:rPr>
          <w:rFonts w:hint="eastAsia" w:ascii="宋体" w:hAnsi="宋体" w:cs="宋体"/>
          <w:bCs/>
          <w:kern w:val="0"/>
          <w:sz w:val="28"/>
          <w:szCs w:val="28"/>
          <w:highlight w:val="none"/>
          <w:lang w:eastAsia="zh-CN" w:bidi="ar"/>
        </w:rPr>
        <w:t>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val="en-US" w:eastAsia="zh-CN" w:bidi="ar"/>
        </w:rPr>
        <w:t>（三）向统计信息共享数据库提供的统计资料清单</w:t>
      </w:r>
    </w:p>
    <w:p>
      <w:pPr>
        <w:numPr>
          <w:ilvl w:val="0"/>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rPr>
          <w:rFonts w:hint="eastAsia" w:ascii="黑体" w:hAnsi="黑体" w:eastAsia="黑体" w:cs="黑体"/>
          <w:b w:val="0"/>
          <w:kern w:val="2"/>
          <w:sz w:val="32"/>
          <w:szCs w:val="32"/>
          <w:lang w:val="en-US" w:eastAsia="zh-CN" w:bidi="ar-SA"/>
        </w:rPr>
      </w:pPr>
      <w:bookmarkStart w:id="0" w:name="_GoBack"/>
      <w:bookmarkEnd w:id="0"/>
    </w:p>
    <w:sectPr>
      <w:pgSz w:w="11906" w:h="16838"/>
      <w:pgMar w:top="1814" w:right="1474" w:bottom="181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0172A27"/>
    <w:rsid w:val="000A56B5"/>
    <w:rsid w:val="0014406D"/>
    <w:rsid w:val="00C46CC2"/>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223CD7"/>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13009</Words>
  <Characters>13771</Characters>
  <Lines>0</Lines>
  <Paragraphs>0</Paragraphs>
  <TotalTime>40</TotalTime>
  <ScaleCrop>false</ScaleCrop>
  <LinksUpToDate>false</LinksUpToDate>
  <CharactersWithSpaces>15099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chengming</dc:creator>
  <cp:lastModifiedBy>陌</cp:lastModifiedBy>
  <cp:lastPrinted>2023-01-03T14:24:00Z</cp:lastPrinted>
  <dcterms:modified xsi:type="dcterms:W3CDTF">2023-02-08T09:33:40Z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0EAE253A0B404C808F75EC333BA5EC9C</vt:lpwstr>
  </property>
</Properties>
</file>